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6A8F3" w14:textId="03ECD58F" w:rsidR="003D772A" w:rsidRDefault="00F4283A">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0ABBD75">
            <wp:simplePos x="0" y="0"/>
            <wp:positionH relativeFrom="column">
              <wp:posOffset>4963160</wp:posOffset>
            </wp:positionH>
            <wp:positionV relativeFrom="paragraph">
              <wp:posOffset>-145415</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0"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23505BE3">
            <wp:simplePos x="0" y="0"/>
            <wp:positionH relativeFrom="column">
              <wp:posOffset>2242185</wp:posOffset>
            </wp:positionH>
            <wp:positionV relativeFrom="paragraph">
              <wp:posOffset>-45085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0354D">
        <w:rPr>
          <w:rFonts w:ascii="Calibri" w:eastAsia="Times New Roman" w:hAnsi="Calibri" w:cs="Calibri"/>
          <w:noProof/>
          <w:color w:val="000000"/>
          <w:lang w:eastAsia="it-IT"/>
        </w:rPr>
        <w:drawing>
          <wp:inline distT="0" distB="0" distL="0" distR="0" wp14:anchorId="566FC655" wp14:editId="231AEFF9">
            <wp:extent cx="1982470" cy="359140"/>
            <wp:effectExtent l="0" t="0" r="0" b="3175"/>
            <wp:docPr id="1897142783" name="Immagine 3" descr="Immagine che contiene testo, Carattere, schermata,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42783" name="Immagine 3" descr="Immagine che contiene testo, Carattere, schermata, bianco&#10;&#10;Il contenuto generato dall'IA potrebbe non essere corret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1829" cy="366270"/>
                    </a:xfrm>
                    <a:prstGeom prst="rect">
                      <a:avLst/>
                    </a:prstGeom>
                    <a:noFill/>
                    <a:ln>
                      <a:noFill/>
                    </a:ln>
                  </pic:spPr>
                </pic:pic>
              </a:graphicData>
            </a:graphic>
          </wp:inline>
        </w:drawing>
      </w:r>
    </w:p>
    <w:p w14:paraId="678C496B" w14:textId="7C81936F" w:rsidR="00C2176F" w:rsidRPr="0088218E" w:rsidRDefault="00C2176F">
      <w:pPr>
        <w:rPr>
          <w:rFonts w:cstheme="minorHAnsi"/>
          <w:sz w:val="20"/>
          <w:szCs w:val="20"/>
        </w:rPr>
      </w:pP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4C67BBBF"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2836AB02"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DELLE PROCEDURE DI </w:t>
            </w:r>
            <w:r w:rsidR="002F1020" w:rsidRPr="00397C58">
              <w:rPr>
                <w:rFonts w:ascii="Garamond" w:eastAsia="Times New Roman" w:hAnsi="Garamond" w:cstheme="minorHAnsi"/>
                <w:b/>
                <w:bCs/>
                <w:color w:val="FFFFFF" w:themeColor="background1"/>
                <w:sz w:val="20"/>
                <w:szCs w:val="20"/>
                <w:lang w:eastAsia="it-IT"/>
              </w:rPr>
              <w:t>GARA</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default" r:id="rId13"/>
          <w:footerReference w:type="default" r:id="rId14"/>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A2D4B" w:rsidRPr="00C770B0" w14:paraId="488CB60A" w14:textId="77777777" w:rsidTr="00752617">
        <w:trPr>
          <w:trHeight w:val="1114"/>
        </w:trPr>
        <w:tc>
          <w:tcPr>
            <w:tcW w:w="169" w:type="pct"/>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proofErr w:type="spellStart"/>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w:t>
            </w:r>
            <w:proofErr w:type="spellEnd"/>
            <w:r w:rsidR="00B51659"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D70E53">
        <w:trPr>
          <w:trHeight w:val="1114"/>
        </w:trPr>
        <w:tc>
          <w:tcPr>
            <w:tcW w:w="169" w:type="pct"/>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w:t>
            </w:r>
            <w:proofErr w:type="spellStart"/>
            <w:r w:rsidRPr="00D70E53">
              <w:rPr>
                <w:rFonts w:ascii="Garamond" w:eastAsia="Times New Roman" w:hAnsi="Garamond" w:cstheme="minorHAnsi"/>
                <w:bCs/>
                <w:sz w:val="20"/>
                <w:szCs w:val="20"/>
                <w:lang w:eastAsia="it-IT"/>
              </w:rPr>
              <w:t>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w:t>
            </w:r>
            <w:proofErr w:type="spellEnd"/>
            <w:r w:rsidRPr="00D70E53">
              <w:rPr>
                <w:rFonts w:ascii="Garamond" w:eastAsia="Times New Roman" w:hAnsi="Garamond" w:cstheme="minorHAnsi"/>
                <w:bCs/>
                <w:sz w:val="20"/>
                <w:szCs w:val="20"/>
                <w:lang w:eastAsia="it-IT"/>
              </w:rPr>
              <w:t xml:space="preserve">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2D788CAF"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r w:rsidR="00413B9C">
              <w:rPr>
                <w:rFonts w:ascii="Garamond" w:eastAsia="Times New Roman" w:hAnsi="Garamond" w:cstheme="minorHAnsi"/>
                <w:bCs/>
                <w:sz w:val="20"/>
                <w:szCs w:val="20"/>
                <w:lang w:eastAsia="it-IT"/>
              </w:rPr>
              <w:t xml:space="preserve"> ove previsti</w:t>
            </w:r>
          </w:p>
          <w:p w14:paraId="312835B0" w14:textId="4B2CF4BD"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lastRenderedPageBreak/>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l’organo di governo dell’amministrazione aggiudicatrice 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D70E53">
        <w:trPr>
          <w:trHeight w:val="1114"/>
        </w:trPr>
        <w:tc>
          <w:tcPr>
            <w:tcW w:w="169" w:type="pct"/>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proofErr w:type="spellStart"/>
            <w:r>
              <w:rPr>
                <w:rFonts w:ascii="Garamond" w:hAnsi="Garamond" w:cstheme="minorHAnsi"/>
                <w:sz w:val="20"/>
                <w:szCs w:val="20"/>
              </w:rPr>
              <w:t>s</w:t>
            </w:r>
            <w:r w:rsidR="001F73F4" w:rsidRPr="00D70E53">
              <w:rPr>
                <w:rFonts w:ascii="Garamond" w:hAnsi="Garamond" w:cstheme="minorHAnsi"/>
                <w:sz w:val="20"/>
                <w:szCs w:val="20"/>
              </w:rPr>
              <w:t>i</w:t>
            </w:r>
            <w:proofErr w:type="spellEnd"/>
            <w:r w:rsidR="001F73F4" w:rsidRPr="00D70E53">
              <w:rPr>
                <w:rFonts w:ascii="Garamond" w:hAnsi="Garamond" w:cstheme="minorHAnsi"/>
                <w:sz w:val="20"/>
                <w:szCs w:val="20"/>
              </w:rPr>
              <w:t xml:space="preserve"> partecipi/sia partecipato </w:t>
            </w:r>
            <w:r w:rsidR="004331EE" w:rsidRPr="00D70E53">
              <w:rPr>
                <w:rFonts w:ascii="Garamond" w:hAnsi="Garamond" w:cstheme="minorHAnsi"/>
                <w:sz w:val="20"/>
                <w:szCs w:val="20"/>
              </w:rPr>
              <w:t xml:space="preserve">ad organi collegiali (ad es. comitati, organi consultivi, commissioni o gruppi di lavoro) comunque denominati, a titolo oneroso e/o gratuito, </w:t>
            </w:r>
            <w:r w:rsidR="004640F8" w:rsidRPr="00D70E53">
              <w:rPr>
                <w:rFonts w:ascii="Garamond" w:hAnsi="Garamond" w:cstheme="minorHAnsi"/>
                <w:sz w:val="20"/>
                <w:szCs w:val="20"/>
              </w:rPr>
              <w:t xml:space="preserve">che sono riconducibili </w:t>
            </w:r>
            <w:r w:rsidR="004640F8" w:rsidRPr="00D70E53">
              <w:rPr>
                <w:rFonts w:ascii="Garamond" w:hAnsi="Garamond" w:cstheme="minorHAnsi"/>
                <w:sz w:val="20"/>
                <w:szCs w:val="20"/>
              </w:rPr>
              <w:lastRenderedPageBreak/>
              <w:t>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r>
              <w:rPr>
                <w:rFonts w:ascii="Garamond" w:hAnsi="Garamond" w:cstheme="minorHAnsi"/>
                <w:sz w:val="20"/>
                <w:szCs w:val="20"/>
              </w:rPr>
              <w:t>s</w:t>
            </w:r>
            <w:r w:rsidR="001F73F4" w:rsidRPr="00D70E53">
              <w:rPr>
                <w:rFonts w:ascii="Garamond" w:hAnsi="Garamond" w:cstheme="minorHAnsi"/>
                <w:sz w:val="20"/>
                <w:szCs w:val="20"/>
              </w:rPr>
              <w:t xml:space="preserve">i abbiano/siano avuti </w:t>
            </w:r>
            <w:r w:rsidR="004331EE" w:rsidRPr="00D70E53">
              <w:rPr>
                <w:rFonts w:ascii="Garamond" w:hAnsi="Garamond" w:cstheme="minorHAnsi"/>
                <w:sz w:val="20"/>
                <w:szCs w:val="20"/>
              </w:rPr>
              <w:t xml:space="preserve">accordi di collaborazione scientifica, partecipazioni ad iniziative o a 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91" w:type="pct"/>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lastRenderedPageBreak/>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con o senza incarico, in società a capitale pubblico o privato che 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5</w:t>
            </w:r>
          </w:p>
        </w:tc>
        <w:tc>
          <w:tcPr>
            <w:tcW w:w="1134" w:type="pct"/>
            <w:vAlign w:val="center"/>
          </w:tcPr>
          <w:p w14:paraId="485ADD57" w14:textId="4D38A95C"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4D60868"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gara</w:t>
            </w:r>
            <w:r w:rsidR="00413B9C">
              <w:rPr>
                <w:rFonts w:ascii="Garamond" w:eastAsia="Times New Roman" w:hAnsi="Garamond" w:cstheme="minorHAnsi"/>
                <w:sz w:val="20"/>
                <w:szCs w:val="20"/>
                <w:lang w:eastAsia="it-IT"/>
              </w:rPr>
              <w:t>;</w:t>
            </w:r>
          </w:p>
          <w:p w14:paraId="0EDD5D5F" w14:textId="520D7032"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r w:rsidR="00413B9C">
              <w:rPr>
                <w:rFonts w:ascii="Garamond" w:eastAsia="Times New Roman" w:hAnsi="Garamond" w:cstheme="minorHAnsi"/>
                <w:sz w:val="20"/>
                <w:szCs w:val="20"/>
                <w:lang w:eastAsia="it-IT"/>
              </w:rPr>
              <w:t>.</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5F022033"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w:t>
            </w:r>
            <w:r w:rsidR="00413B9C">
              <w:rPr>
                <w:rFonts w:ascii="Garamond" w:eastAsia="Times New Roman" w:hAnsi="Garamond" w:cstheme="minorHAnsi"/>
                <w:sz w:val="20"/>
                <w:szCs w:val="20"/>
                <w:lang w:eastAsia="it-IT"/>
              </w:rPr>
              <w:t>;</w:t>
            </w:r>
          </w:p>
          <w:p w14:paraId="4D83B37D" w14:textId="38DE4184"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r w:rsidR="00413B9C">
              <w:rPr>
                <w:rFonts w:ascii="Garamond" w:eastAsia="Times New Roman" w:hAnsi="Garamond" w:cstheme="minorHAnsi"/>
                <w:sz w:val="20"/>
                <w:szCs w:val="20"/>
                <w:lang w:eastAsia="it-IT"/>
              </w:rPr>
              <w:t>, ove previsti;</w:t>
            </w:r>
          </w:p>
          <w:p w14:paraId="5089A65D" w14:textId="530E19D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r w:rsidR="00413B9C">
              <w:rPr>
                <w:rFonts w:ascii="Garamond" w:eastAsia="Times New Roman" w:hAnsi="Garamond" w:cstheme="minorHAnsi"/>
                <w:sz w:val="20"/>
                <w:szCs w:val="20"/>
                <w:lang w:eastAsia="it-IT"/>
              </w:rPr>
              <w:t>;</w:t>
            </w:r>
          </w:p>
          <w:p w14:paraId="4BC02376" w14:textId="6F9A2F39"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organo di governo dell’amministrazione aggiudicatrice laddove adottino atti di gestione nella singola procedura di gara</w:t>
            </w:r>
            <w:r w:rsidR="00413B9C">
              <w:rPr>
                <w:rFonts w:ascii="Garamond" w:eastAsia="Times New Roman" w:hAnsi="Garamond" w:cstheme="minorHAnsi"/>
                <w:sz w:val="20"/>
                <w:szCs w:val="20"/>
                <w:lang w:eastAsia="it-IT"/>
              </w:rPr>
              <w:t>;</w:t>
            </w:r>
          </w:p>
          <w:p w14:paraId="70ED9439" w14:textId="091290BA"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r w:rsidR="00413B9C">
              <w:rPr>
                <w:rFonts w:ascii="Garamond" w:eastAsia="Times New Roman" w:hAnsi="Garamond" w:cstheme="minorHAnsi"/>
                <w:iCs/>
                <w:sz w:val="20"/>
                <w:szCs w:val="20"/>
                <w:lang w:eastAsia="it-IT"/>
              </w:rPr>
              <w:t>.</w:t>
            </w:r>
          </w:p>
        </w:tc>
      </w:tr>
      <w:tr w:rsidR="00787F2F" w:rsidRPr="00C770B0" w14:paraId="580A9FDD" w14:textId="77777777" w:rsidTr="00D70E53">
        <w:trPr>
          <w:trHeight w:val="820"/>
        </w:trPr>
        <w:tc>
          <w:tcPr>
            <w:tcW w:w="169" w:type="pct"/>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lastRenderedPageBreak/>
              <w:t>8</w:t>
            </w:r>
          </w:p>
        </w:tc>
        <w:tc>
          <w:tcPr>
            <w:tcW w:w="1134" w:type="pct"/>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con riferimento al titolare effettivo dell’operatore destinatario della proposta di aggiudicazione?</w:t>
            </w:r>
          </w:p>
        </w:tc>
        <w:tc>
          <w:tcPr>
            <w:tcW w:w="291" w:type="pct"/>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2846DC28"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r w:rsidR="00413B9C">
              <w:rPr>
                <w:rFonts w:ascii="Garamond" w:eastAsia="Times New Roman" w:hAnsi="Garamond" w:cstheme="minorHAnsi"/>
                <w:color w:val="000000" w:themeColor="text1"/>
                <w:sz w:val="20"/>
                <w:szCs w:val="20"/>
                <w:lang w:eastAsia="it-IT"/>
              </w:rPr>
              <w:t>;</w:t>
            </w:r>
          </w:p>
          <w:p w14:paraId="6B89849E" w14:textId="4178A0EE"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laddove invece si tratti di incarichi di consulenza/collaborazione (artt. 15 e 15 bis, d.lgs. 33/2013) conferiti al dichiarante </w:t>
            </w:r>
            <w:r w:rsidRPr="00D70E53">
              <w:rPr>
                <w:rFonts w:ascii="Garamond" w:eastAsia="Times New Roman" w:hAnsi="Garamond" w:cstheme="minorHAnsi"/>
                <w:color w:val="000000" w:themeColor="text1"/>
                <w:sz w:val="20"/>
                <w:szCs w:val="20"/>
                <w:lang w:eastAsia="it-IT"/>
              </w:rPr>
              <w:lastRenderedPageBreak/>
              <w:t>dall’operatore economico si possono consultare i dati pubblicati sulla sezione A.T. del sito istituzionale di quest’ultimo, ove lo stesso sia assoggettato al d.lgs. 33/2013</w:t>
            </w:r>
            <w:r w:rsidR="00413B9C">
              <w:rPr>
                <w:rFonts w:ascii="Garamond" w:eastAsia="Times New Roman" w:hAnsi="Garamond" w:cstheme="minorHAnsi"/>
                <w:color w:val="000000" w:themeColor="text1"/>
                <w:sz w:val="20"/>
                <w:szCs w:val="20"/>
                <w:lang w:eastAsia="it-IT"/>
              </w:rPr>
              <w:t>;</w:t>
            </w:r>
          </w:p>
          <w:p w14:paraId="15B190BF" w14:textId="4BC29F5B"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r w:rsidR="00413B9C">
              <w:rPr>
                <w:rFonts w:ascii="Garamond" w:eastAsia="Times New Roman" w:hAnsi="Garamond" w:cstheme="minorHAnsi"/>
                <w:color w:val="000000" w:themeColor="text1"/>
                <w:sz w:val="20"/>
                <w:szCs w:val="20"/>
                <w:lang w:eastAsia="it-IT"/>
              </w:rPr>
              <w:t>.</w:t>
            </w:r>
          </w:p>
        </w:tc>
      </w:tr>
      <w:tr w:rsidR="00780F8E" w:rsidRPr="00C770B0" w14:paraId="1DC8173B" w14:textId="77777777" w:rsidTr="00D70E53">
        <w:trPr>
          <w:trHeight w:val="820"/>
        </w:trPr>
        <w:tc>
          <w:tcPr>
            <w:tcW w:w="169" w:type="pct"/>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partecipazione, con o senza incarico di amministrazione, a società di persone e/o 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5581CB6"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lastRenderedPageBreak/>
              <w:t>- il sistema informativo ARACHNE, utilizzato come strumento di valutazione dei rischi</w:t>
            </w:r>
            <w:r w:rsidR="00041A74">
              <w:rPr>
                <w:rFonts w:ascii="Garamond" w:eastAsia="Times New Roman" w:hAnsi="Garamond" w:cstheme="minorHAnsi"/>
                <w:color w:val="000000" w:themeColor="text1"/>
                <w:sz w:val="20"/>
                <w:szCs w:val="20"/>
                <w:lang w:eastAsia="it-IT"/>
              </w:rPr>
              <w:t>;</w:t>
            </w:r>
          </w:p>
          <w:p w14:paraId="57DEEA1C" w14:textId="20522CCA"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r w:rsidR="00041A74">
              <w:rPr>
                <w:rFonts w:ascii="Garamond" w:eastAsia="Times New Roman" w:hAnsi="Garamond" w:cstheme="minorHAnsi"/>
                <w:color w:val="000000" w:themeColor="text1"/>
                <w:sz w:val="20"/>
                <w:szCs w:val="20"/>
                <w:lang w:eastAsia="it-IT"/>
              </w:rPr>
              <w:t>.</w:t>
            </w:r>
          </w:p>
        </w:tc>
      </w:tr>
      <w:tr w:rsidR="00920D57" w:rsidRPr="00C770B0" w14:paraId="5F046750" w14:textId="77777777" w:rsidTr="00D70E53">
        <w:trPr>
          <w:trHeight w:val="820"/>
        </w:trPr>
        <w:tc>
          <w:tcPr>
            <w:tcW w:w="169" w:type="pct"/>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134" w:type="pct"/>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91" w:type="pct"/>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t>Ulteriori misure preventive</w:t>
            </w:r>
          </w:p>
        </w:tc>
      </w:tr>
      <w:tr w:rsidR="00797E01" w:rsidRPr="00C770B0" w14:paraId="26585D7A" w14:textId="77777777" w:rsidTr="008C0FC2">
        <w:trPr>
          <w:trHeight w:val="820"/>
        </w:trPr>
        <w:tc>
          <w:tcPr>
            <w:tcW w:w="191" w:type="pct"/>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Sono state previste attività di sensibilizzazione del personale al rispetto della normativa vigente in materia di </w:t>
            </w:r>
            <w:r w:rsidRPr="00D70E53">
              <w:rPr>
                <w:rFonts w:ascii="Garamond" w:hAnsi="Garamond" w:cstheme="minorHAnsi"/>
                <w:sz w:val="20"/>
                <w:szCs w:val="20"/>
              </w:rPr>
              <w:lastRenderedPageBreak/>
              <w:t>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lastRenderedPageBreak/>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5"/>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7D5FB" w14:textId="77777777" w:rsidR="00250387" w:rsidRDefault="00250387" w:rsidP="00482081">
      <w:pPr>
        <w:spacing w:after="0" w:line="240" w:lineRule="auto"/>
      </w:pPr>
      <w:r>
        <w:separator/>
      </w:r>
    </w:p>
  </w:endnote>
  <w:endnote w:type="continuationSeparator" w:id="0">
    <w:p w14:paraId="28CA0A8D" w14:textId="77777777" w:rsidR="00250387" w:rsidRDefault="00250387"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216047"/>
      <w:docPartObj>
        <w:docPartGallery w:val="Page Numbers (Bottom of Page)"/>
        <w:docPartUnique/>
      </w:docPartObj>
    </w:sdt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5239E" w14:textId="77777777" w:rsidR="00250387" w:rsidRDefault="00250387" w:rsidP="00482081">
      <w:pPr>
        <w:spacing w:after="0" w:line="240" w:lineRule="auto"/>
      </w:pPr>
      <w:r>
        <w:separator/>
      </w:r>
    </w:p>
  </w:footnote>
  <w:footnote w:type="continuationSeparator" w:id="0">
    <w:p w14:paraId="0E78C04A" w14:textId="77777777" w:rsidR="00250387" w:rsidRDefault="00250387"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153105719"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177DE" w14:textId="6FA77021" w:rsidR="00F4283A" w:rsidRDefault="00F4283A">
    <w:pPr>
      <w:pStyle w:val="Intestazione"/>
      <w:rPr>
        <w:rFonts w:ascii="Calibri" w:eastAsia="Times New Roman" w:hAnsi="Calibri" w:cs="Calibri"/>
        <w:noProof/>
        <w:color w:val="000000"/>
        <w:lang w:eastAsia="it-IT"/>
      </w:rPr>
    </w:pPr>
    <w:r w:rsidRPr="00EA1ACC">
      <w:rPr>
        <w:noProof/>
        <w:lang w:eastAsia="it-IT"/>
      </w:rPr>
      <w:drawing>
        <wp:anchor distT="0" distB="0" distL="114300" distR="114300" simplePos="0" relativeHeight="251663360" behindDoc="0" locked="0" layoutInCell="1" allowOverlap="1" wp14:anchorId="6FF23358" wp14:editId="3B98DF7F">
          <wp:simplePos x="0" y="0"/>
          <wp:positionH relativeFrom="column">
            <wp:posOffset>6697980</wp:posOffset>
          </wp:positionH>
          <wp:positionV relativeFrom="paragraph">
            <wp:posOffset>-60960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3FB5F626">
          <wp:simplePos x="0" y="0"/>
          <wp:positionH relativeFrom="column">
            <wp:posOffset>8620760</wp:posOffset>
          </wp:positionH>
          <wp:positionV relativeFrom="paragraph">
            <wp:posOffset>-133985</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noProof/>
        <w:color w:val="000000"/>
        <w:lang w:eastAsia="it-IT"/>
      </w:rPr>
      <w:t xml:space="preserve">                                                                                                                                         </w:t>
    </w:r>
    <w:r w:rsidRPr="0060354D">
      <w:rPr>
        <w:rFonts w:ascii="Calibri" w:eastAsia="Times New Roman" w:hAnsi="Calibri" w:cs="Calibri"/>
        <w:noProof/>
        <w:color w:val="000000"/>
        <w:lang w:eastAsia="it-IT"/>
      </w:rPr>
      <w:drawing>
        <wp:inline distT="0" distB="0" distL="0" distR="0" wp14:anchorId="1BFE16C7" wp14:editId="7DBC9E71">
          <wp:extent cx="1982470" cy="359140"/>
          <wp:effectExtent l="0" t="0" r="0" b="3175"/>
          <wp:docPr id="1276865193" name="Immagine 3" descr="Immagine che contiene testo, Carattere, schermata,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42783" name="Immagine 3" descr="Immagine che contiene testo, Carattere, schermata, bianco&#10;&#10;Il contenuto generato dall'IA potrebbe non essere corrett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21829" cy="366270"/>
                  </a:xfrm>
                  <a:prstGeom prst="rect">
                    <a:avLst/>
                  </a:prstGeom>
                  <a:noFill/>
                  <a:ln>
                    <a:noFill/>
                  </a:ln>
                </pic:spPr>
              </pic:pic>
            </a:graphicData>
          </a:graphic>
        </wp:inline>
      </w:drawing>
    </w:r>
  </w:p>
  <w:p w14:paraId="5C553D64" w14:textId="2B1485F2" w:rsidR="00D902E6" w:rsidRDefault="00D902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7502"/>
    <w:rsid w:val="00023801"/>
    <w:rsid w:val="0002593F"/>
    <w:rsid w:val="000265F3"/>
    <w:rsid w:val="00030E66"/>
    <w:rsid w:val="00033A62"/>
    <w:rsid w:val="00036058"/>
    <w:rsid w:val="00041A74"/>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6F26"/>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87"/>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B9C"/>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283A"/>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79D4E5D1D47B6409FCDEFACD78AA235" ma:contentTypeVersion="3" ma:contentTypeDescription="Creare un nuovo documento." ma:contentTypeScope="" ma:versionID="40a536d09f3acf87c43172ffe183efe6">
  <xsd:schema xmlns:xsd="http://www.w3.org/2001/XMLSchema" xmlns:xs="http://www.w3.org/2001/XMLSchema" xmlns:p="http://schemas.microsoft.com/office/2006/metadata/properties" xmlns:ns2="1cfccf87-0ed5-4d5b-a7ec-ab5a3c368b5c" targetNamespace="http://schemas.microsoft.com/office/2006/metadata/properties" ma:root="true" ma:fieldsID="22c7fb5b45f7592fe2370a8ff1d323b1" ns2:_="">
    <xsd:import namespace="1cfccf87-0ed5-4d5b-a7ec-ab5a3c368b5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fccf87-0ed5-4d5b-a7ec-ab5a3c368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2.xml><?xml version="1.0" encoding="utf-8"?>
<ds:datastoreItem xmlns:ds="http://schemas.openxmlformats.org/officeDocument/2006/customXml" ds:itemID="{B2B702E3-800A-4A4B-B381-DDFB01AA07B1}"/>
</file>

<file path=customXml/itemProps3.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4.xml><?xml version="1.0" encoding="utf-8"?>
<ds:datastoreItem xmlns:ds="http://schemas.openxmlformats.org/officeDocument/2006/customXml" ds:itemID="{A8585672-5D7D-43D4-8491-082E096D60CB}"/>
</file>

<file path=docProps/app.xml><?xml version="1.0" encoding="utf-8"?>
<Properties xmlns="http://schemas.openxmlformats.org/officeDocument/2006/extended-properties" xmlns:vt="http://schemas.openxmlformats.org/officeDocument/2006/docPropsVTypes">
  <Template>Normal</Template>
  <TotalTime>0</TotalTime>
  <Pages>10</Pages>
  <Words>1898</Words>
  <Characters>10823</Characters>
  <Application>Microsoft Office Word</Application>
  <DocSecurity>0</DocSecurity>
  <Lines>90</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2024-06-27T13:29:00Z</dcterms:created>
  <dcterms:modified xsi:type="dcterms:W3CDTF">2025-10-10T08:26:00Z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0x010100979D4E5D1D47B6409FCDEFACD78AA235</vt:lpwstr>
  </property>
  <property fmtid="{D5CDD505-2E9C-101B-9397-08002B2CF9AE}" pid="3" name="_NewReviewCycle">
    <vt:lpwstr/>
  </property>
</Properties>
</file>